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535BFBA7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536327" w:rsidRPr="00536327">
        <w:rPr>
          <w:b/>
          <w:bCs/>
          <w:color w:val="000000"/>
        </w:rPr>
        <w:t>UA-2026-03-30-011823-a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5367E277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536327" w:rsidRPr="00536327">
        <w:rPr>
          <w:b/>
          <w:bCs/>
          <w:color w:val="000000"/>
        </w:rPr>
        <w:t>UA-2026-03-30-011823-a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5B1272D4" w14:textId="7043FF13" w:rsidR="000E1218" w:rsidRPr="000E1218" w:rsidRDefault="004551E0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proofErr w:type="spellStart"/>
      <w:r w:rsidRPr="004551E0">
        <w:rPr>
          <w:color w:val="000000"/>
          <w:bdr w:val="none" w:sz="0" w:space="0" w:color="auto" w:frame="1"/>
        </w:rPr>
        <w:t>шиномонтажні</w:t>
      </w:r>
      <w:proofErr w:type="spellEnd"/>
      <w:r w:rsidRPr="004551E0">
        <w:rPr>
          <w:color w:val="000000"/>
          <w:bdr w:val="none" w:sz="0" w:space="0" w:color="auto" w:frame="1"/>
        </w:rPr>
        <w:t xml:space="preserve"> послуги та послуги з балансування коліс</w:t>
      </w:r>
    </w:p>
    <w:p w14:paraId="486E005E" w14:textId="606E9D7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335C78" w:rsidRPr="00335C78">
        <w:rPr>
          <w:color w:val="000000"/>
          <w:bdr w:val="none" w:sz="0" w:space="0" w:color="auto" w:frame="1"/>
        </w:rPr>
        <w:t xml:space="preserve">50110000-9 «Послуги з ремонту і технічного обслуговування </w:t>
      </w:r>
      <w:proofErr w:type="spellStart"/>
      <w:r w:rsidR="00335C78" w:rsidRPr="00335C78">
        <w:rPr>
          <w:color w:val="000000"/>
          <w:bdr w:val="none" w:sz="0" w:space="0" w:color="auto" w:frame="1"/>
        </w:rPr>
        <w:t>мототранспортних</w:t>
      </w:r>
      <w:proofErr w:type="spellEnd"/>
      <w:r w:rsidR="00335C78" w:rsidRPr="00335C78">
        <w:rPr>
          <w:color w:val="000000"/>
          <w:bdr w:val="none" w:sz="0" w:space="0" w:color="auto" w:frame="1"/>
        </w:rPr>
        <w:t xml:space="preserve"> засобів і супутнього обладнання» (50116500-6 Шиноремонтні послуги, у тому числі </w:t>
      </w:r>
      <w:proofErr w:type="spellStart"/>
      <w:r w:rsidR="00335C78" w:rsidRPr="00335C78">
        <w:rPr>
          <w:color w:val="000000"/>
          <w:bdr w:val="none" w:sz="0" w:space="0" w:color="auto" w:frame="1"/>
        </w:rPr>
        <w:t>шиномонтажні</w:t>
      </w:r>
      <w:proofErr w:type="spellEnd"/>
      <w:r w:rsidR="00335C78" w:rsidRPr="00335C78">
        <w:rPr>
          <w:color w:val="000000"/>
          <w:bdr w:val="none" w:sz="0" w:space="0" w:color="auto" w:frame="1"/>
        </w:rPr>
        <w:t xml:space="preserve"> послуги та послуги з балансування коліс).</w:t>
      </w:r>
    </w:p>
    <w:p w14:paraId="5DCECEAB" w14:textId="4D8A5F54" w:rsidR="00E32E3E" w:rsidRPr="00737CEB" w:rsidRDefault="001C2FFC" w:rsidP="00536327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35C78" w:rsidRPr="00335C78">
        <w:rPr>
          <w:color w:val="000000"/>
          <w:bdr w:val="none" w:sz="0" w:space="0" w:color="auto" w:frame="1"/>
        </w:rPr>
        <w:t>56 216,00 грн. (П’ятдесят</w:t>
      </w:r>
      <w:r w:rsidR="00335C78" w:rsidRPr="00536327">
        <w:rPr>
          <w:color w:val="000000"/>
          <w:bdr w:val="none" w:sz="0" w:space="0" w:color="auto" w:frame="1"/>
        </w:rPr>
        <w:t xml:space="preserve"> </w:t>
      </w:r>
      <w:r w:rsidR="00335C78" w:rsidRPr="00335C78">
        <w:rPr>
          <w:color w:val="000000"/>
          <w:bdr w:val="none" w:sz="0" w:space="0" w:color="auto" w:frame="1"/>
        </w:rPr>
        <w:t>шість тисяч двісті шістнадцять гривень 00 копійок)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3A6DFE61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 xml:space="preserve">Посилання </w:t>
      </w:r>
      <w:r w:rsidR="00B8292E">
        <w:rPr>
          <w:color w:val="000000"/>
          <w:bdr w:val="none" w:sz="0" w:space="0" w:color="auto" w:frame="1"/>
        </w:rPr>
        <w:t>н</w:t>
      </w:r>
      <w:r w:rsidRPr="003D0F1D">
        <w:rPr>
          <w:color w:val="000000"/>
          <w:bdr w:val="none" w:sz="0" w:space="0" w:color="auto" w:frame="1"/>
        </w:rPr>
        <w:t>а процедуру закупівлі в електронній системі закупівель:</w:t>
      </w:r>
      <w:r w:rsidRPr="003D0F1D">
        <w:t xml:space="preserve"> </w:t>
      </w:r>
      <w:r w:rsidR="00536327" w:rsidRPr="00536327">
        <w:t>https://prozorro.gov.ua/uk/tender/UA-2026-03-30-011823-a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21A8F"/>
    <w:rsid w:val="00060776"/>
    <w:rsid w:val="000D6A89"/>
    <w:rsid w:val="000E1218"/>
    <w:rsid w:val="000E2DBA"/>
    <w:rsid w:val="0012513B"/>
    <w:rsid w:val="00153CCF"/>
    <w:rsid w:val="001B04EC"/>
    <w:rsid w:val="001C2FFC"/>
    <w:rsid w:val="00202688"/>
    <w:rsid w:val="00225663"/>
    <w:rsid w:val="002A05C3"/>
    <w:rsid w:val="002C1D5D"/>
    <w:rsid w:val="00307206"/>
    <w:rsid w:val="00330A5E"/>
    <w:rsid w:val="003325F2"/>
    <w:rsid w:val="00335C78"/>
    <w:rsid w:val="00356B5D"/>
    <w:rsid w:val="00373D5C"/>
    <w:rsid w:val="003751EE"/>
    <w:rsid w:val="00392922"/>
    <w:rsid w:val="003D0F1D"/>
    <w:rsid w:val="004551E0"/>
    <w:rsid w:val="0049379A"/>
    <w:rsid w:val="00494C7E"/>
    <w:rsid w:val="004D58B7"/>
    <w:rsid w:val="00503161"/>
    <w:rsid w:val="00536327"/>
    <w:rsid w:val="00561DD7"/>
    <w:rsid w:val="005A2D35"/>
    <w:rsid w:val="005C13F7"/>
    <w:rsid w:val="005F2FD7"/>
    <w:rsid w:val="00615087"/>
    <w:rsid w:val="006F64AE"/>
    <w:rsid w:val="006F7614"/>
    <w:rsid w:val="00716C21"/>
    <w:rsid w:val="00737CEB"/>
    <w:rsid w:val="007A2CB7"/>
    <w:rsid w:val="007E10B6"/>
    <w:rsid w:val="007F583D"/>
    <w:rsid w:val="008247D8"/>
    <w:rsid w:val="008537FF"/>
    <w:rsid w:val="00864131"/>
    <w:rsid w:val="008F150B"/>
    <w:rsid w:val="0097587F"/>
    <w:rsid w:val="009845F7"/>
    <w:rsid w:val="00987A91"/>
    <w:rsid w:val="009A2E57"/>
    <w:rsid w:val="009C011A"/>
    <w:rsid w:val="009C6260"/>
    <w:rsid w:val="00AA75BB"/>
    <w:rsid w:val="00AA7CDA"/>
    <w:rsid w:val="00AD40A8"/>
    <w:rsid w:val="00AD42BF"/>
    <w:rsid w:val="00B10BD7"/>
    <w:rsid w:val="00B17497"/>
    <w:rsid w:val="00B24A33"/>
    <w:rsid w:val="00B26EFE"/>
    <w:rsid w:val="00B8292E"/>
    <w:rsid w:val="00BB6C07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922BF"/>
    <w:rsid w:val="00DA21BC"/>
    <w:rsid w:val="00E133ED"/>
    <w:rsid w:val="00E3142C"/>
    <w:rsid w:val="00E32E3E"/>
    <w:rsid w:val="00ED5F89"/>
    <w:rsid w:val="00F47130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2</cp:revision>
  <cp:lastPrinted>2023-09-05T07:11:00Z</cp:lastPrinted>
  <dcterms:created xsi:type="dcterms:W3CDTF">2026-04-08T11:26:00Z</dcterms:created>
  <dcterms:modified xsi:type="dcterms:W3CDTF">2026-04-08T11:26:00Z</dcterms:modified>
</cp:coreProperties>
</file>